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8CF" w14:textId="23D27F1E" w:rsidR="00AB0979" w:rsidRDefault="00AB0979" w:rsidP="00AB097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635692" wp14:editId="726CA962">
            <wp:extent cx="542925" cy="469123"/>
            <wp:effectExtent l="0" t="0" r="0" b="7620"/>
            <wp:docPr id="101687500" name="Picture 2" descr="A blue shield with white text and purple ring around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7500" name="Picture 2" descr="A blue shield with white text and purple ring around i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03" cy="4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DE249" w14:textId="470C9050" w:rsidR="00A73253" w:rsidRPr="00A73253" w:rsidRDefault="00031ED4" w:rsidP="00A73253">
      <w:r>
        <w:rPr>
          <w:b/>
          <w:bCs/>
        </w:rPr>
        <w:t>DVMS Cyber Resilience Professional Foundation Certification Training</w:t>
      </w:r>
      <w:r w:rsidR="00A73253" w:rsidRPr="00A73253">
        <w:rPr>
          <w:b/>
          <w:bCs/>
        </w:rPr>
        <w:t xml:space="preserve"> </w:t>
      </w:r>
      <w:r w:rsidR="00FE20C4">
        <w:t xml:space="preserve">- </w:t>
      </w:r>
      <w:r w:rsidR="00A73253" w:rsidRPr="00A73253">
        <w:rPr>
          <w:b/>
          <w:bCs/>
        </w:rPr>
        <w:t>Version:</w:t>
      </w:r>
      <w:r w:rsidR="00A73253" w:rsidRPr="00A73253">
        <w:t xml:space="preserve"> 4.0</w:t>
      </w:r>
    </w:p>
    <w:p w14:paraId="311ED29A" w14:textId="77777777" w:rsidR="00A73253" w:rsidRPr="00A73253" w:rsidRDefault="00000000" w:rsidP="00A73253">
      <w:r>
        <w:pict w14:anchorId="0006882C">
          <v:rect id="_x0000_i1025" style="width:0;height:1.5pt" o:hralign="center" o:hrstd="t" o:hr="t" fillcolor="#a0a0a0" stroked="f"/>
        </w:pict>
      </w:r>
    </w:p>
    <w:p w14:paraId="06822DBF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Course Overview</w:t>
      </w:r>
    </w:p>
    <w:p w14:paraId="685D5157" w14:textId="3275F60A" w:rsidR="00A73253" w:rsidRPr="00A73253" w:rsidRDefault="00A73253" w:rsidP="00A73253">
      <w:r w:rsidRPr="00A73253">
        <w:t xml:space="preserve">This course introduces learners to the fundamentals of adopting the NIST Cybersecurity Framework (CSF) and prepares them for the </w:t>
      </w:r>
      <w:r>
        <w:t>Cyber Resilience Professional</w:t>
      </w:r>
      <w:r w:rsidRPr="00A73253">
        <w:t xml:space="preserve"> Foundation certification. Participants will understand the core concepts of cybersecurity risk, the structure of the NIST-CSF, and how to adopt and adapt the framework </w:t>
      </w:r>
      <w:r>
        <w:t>to enhance enterprise resilience and improve performance</w:t>
      </w:r>
      <w:r w:rsidRPr="00A73253">
        <w:t>.</w:t>
      </w:r>
      <w:r w:rsidR="00AB0979">
        <w:t xml:space="preserve"> </w:t>
      </w:r>
      <w:r w:rsidRPr="00A73253">
        <w:t xml:space="preserve">The program combines lecture material, instructor commentary, and references to the </w:t>
      </w:r>
      <w:r w:rsidRPr="00A73253">
        <w:rPr>
          <w:i/>
          <w:iCs/>
        </w:rPr>
        <w:t>Fundamentals of Adopting the NIST Cybersecurity Framework (2nd Edition)</w:t>
      </w:r>
      <w:r w:rsidRPr="00A73253">
        <w:t xml:space="preserve"> textbook.</w:t>
      </w:r>
    </w:p>
    <w:p w14:paraId="5F065F5B" w14:textId="77777777" w:rsidR="00A73253" w:rsidRPr="00A73253" w:rsidRDefault="00000000" w:rsidP="00A73253">
      <w:r>
        <w:pict w14:anchorId="15A2A647">
          <v:rect id="_x0000_i1026" style="width:0;height:1.5pt" o:hralign="center" o:hrstd="t" o:hr="t" fillcolor="#a0a0a0" stroked="f"/>
        </w:pict>
      </w:r>
    </w:p>
    <w:p w14:paraId="1284FD5A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Learning Objectives</w:t>
      </w:r>
    </w:p>
    <w:p w14:paraId="12F830A0" w14:textId="77777777" w:rsidR="00A73253" w:rsidRPr="00A73253" w:rsidRDefault="00A73253" w:rsidP="00A73253">
      <w:r w:rsidRPr="00A73253">
        <w:t>By the end of the course, participants will be able to:</w:t>
      </w:r>
    </w:p>
    <w:p w14:paraId="566E362D" w14:textId="77777777" w:rsidR="00A73253" w:rsidRPr="00A73253" w:rsidRDefault="00A73253" w:rsidP="00A73253">
      <w:pPr>
        <w:numPr>
          <w:ilvl w:val="0"/>
          <w:numId w:val="1"/>
        </w:numPr>
      </w:pPr>
      <w:r w:rsidRPr="00A73253">
        <w:t>Explain fundamental cybersecurity and risk management concepts.</w:t>
      </w:r>
    </w:p>
    <w:p w14:paraId="5D214432" w14:textId="77777777" w:rsidR="00A73253" w:rsidRPr="00A73253" w:rsidRDefault="00A73253" w:rsidP="00A73253">
      <w:pPr>
        <w:numPr>
          <w:ilvl w:val="0"/>
          <w:numId w:val="1"/>
        </w:numPr>
      </w:pPr>
      <w:r w:rsidRPr="00A73253">
        <w:t>Understand the structure, components, and relationships within the NIST-CSF.</w:t>
      </w:r>
    </w:p>
    <w:p w14:paraId="604228EC" w14:textId="77777777" w:rsidR="00A73253" w:rsidRPr="00A73253" w:rsidRDefault="00A73253" w:rsidP="00A73253">
      <w:pPr>
        <w:numPr>
          <w:ilvl w:val="0"/>
          <w:numId w:val="1"/>
        </w:numPr>
      </w:pPr>
      <w:r w:rsidRPr="00A73253">
        <w:t>Apply concepts of organizational culture, privacy, and resiliency to cybersecurity programs.</w:t>
      </w:r>
    </w:p>
    <w:p w14:paraId="6528E21D" w14:textId="77777777" w:rsidR="00A73253" w:rsidRPr="00A73253" w:rsidRDefault="00A73253" w:rsidP="00A73253">
      <w:pPr>
        <w:numPr>
          <w:ilvl w:val="0"/>
          <w:numId w:val="1"/>
        </w:numPr>
      </w:pPr>
      <w:r w:rsidRPr="00A73253">
        <w:t>Describe how to adopt and adapt the NIST-CSF within a digital enterprise.</w:t>
      </w:r>
    </w:p>
    <w:p w14:paraId="6C776074" w14:textId="77777777" w:rsidR="00A73253" w:rsidRPr="00A73253" w:rsidRDefault="00A73253" w:rsidP="00A73253">
      <w:pPr>
        <w:numPr>
          <w:ilvl w:val="0"/>
          <w:numId w:val="1"/>
        </w:numPr>
      </w:pPr>
      <w:r w:rsidRPr="00A73253">
        <w:t>Recognize how the DVMS (Digital Value Management System) overlay extends and integrates with the NIST-CSF to drive digital business performance and resilience.</w:t>
      </w:r>
    </w:p>
    <w:p w14:paraId="3ABC2DE3" w14:textId="77777777" w:rsidR="00A73253" w:rsidRPr="00A73253" w:rsidRDefault="00000000" w:rsidP="00A73253">
      <w:r>
        <w:pict w14:anchorId="1BD19E4E">
          <v:rect id="_x0000_i1027" style="width:0;height:1.5pt" o:hralign="center" o:hrstd="t" o:hr="t" fillcolor="#a0a0a0" stroked="f"/>
        </w:pict>
      </w:r>
    </w:p>
    <w:p w14:paraId="60393F18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Course Modules and Content Outline</w:t>
      </w:r>
    </w:p>
    <w:p w14:paraId="0F366F90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1: Imperative &amp; Origin</w:t>
      </w:r>
    </w:p>
    <w:p w14:paraId="366293BF" w14:textId="77777777" w:rsidR="00A73253" w:rsidRPr="00A73253" w:rsidRDefault="00A73253" w:rsidP="00A73253">
      <w:pPr>
        <w:numPr>
          <w:ilvl w:val="0"/>
          <w:numId w:val="2"/>
        </w:numPr>
      </w:pPr>
      <w:r w:rsidRPr="00A73253">
        <w:t>Explain the concept of risk.</w:t>
      </w:r>
    </w:p>
    <w:p w14:paraId="7ECAD535" w14:textId="77777777" w:rsidR="00A73253" w:rsidRPr="00A73253" w:rsidRDefault="00A73253" w:rsidP="00A73253">
      <w:pPr>
        <w:numPr>
          <w:ilvl w:val="0"/>
          <w:numId w:val="2"/>
        </w:numPr>
      </w:pPr>
      <w:r w:rsidRPr="00A73253">
        <w:t>Differentiate between threats and vulnerabilities.</w:t>
      </w:r>
    </w:p>
    <w:p w14:paraId="466255C1" w14:textId="77777777" w:rsidR="00A73253" w:rsidRPr="00A73253" w:rsidRDefault="00A73253" w:rsidP="00A73253">
      <w:pPr>
        <w:numPr>
          <w:ilvl w:val="0"/>
          <w:numId w:val="2"/>
        </w:numPr>
      </w:pPr>
      <w:r w:rsidRPr="00A73253">
        <w:t>Understand cybersecurity risk.</w:t>
      </w:r>
    </w:p>
    <w:p w14:paraId="45809E8F" w14:textId="77777777" w:rsidR="00A73253" w:rsidRPr="00A73253" w:rsidRDefault="00A73253" w:rsidP="00A73253">
      <w:pPr>
        <w:numPr>
          <w:ilvl w:val="0"/>
          <w:numId w:val="2"/>
        </w:numPr>
      </w:pPr>
      <w:r w:rsidRPr="00A73253">
        <w:t>Review the NIST-CSF timeline and its origins.</w:t>
      </w:r>
    </w:p>
    <w:p w14:paraId="724FBECB" w14:textId="44700634" w:rsidR="00A73253" w:rsidRPr="00A73253" w:rsidRDefault="00A73253" w:rsidP="00A73253">
      <w:pPr>
        <w:numPr>
          <w:ilvl w:val="0"/>
          <w:numId w:val="2"/>
        </w:numPr>
      </w:pPr>
      <w:r w:rsidRPr="00A73253">
        <w:lastRenderedPageBreak/>
        <w:t xml:space="preserve">Identify </w:t>
      </w:r>
      <w:r w:rsidR="00F8167D">
        <w:t xml:space="preserve">the </w:t>
      </w:r>
      <w:r w:rsidRPr="00A73253">
        <w:t>benefits of adopting the NIST-CSF.</w:t>
      </w:r>
    </w:p>
    <w:p w14:paraId="785772B2" w14:textId="77777777" w:rsidR="00A73253" w:rsidRPr="00A73253" w:rsidRDefault="00000000" w:rsidP="00A73253">
      <w:r>
        <w:pict w14:anchorId="53B2D36C">
          <v:rect id="_x0000_i1028" style="width:0;height:1.5pt" o:hralign="center" o:hrstd="t" o:hr="t" fillcolor="#a0a0a0" stroked="f"/>
        </w:pict>
      </w:r>
    </w:p>
    <w:p w14:paraId="4DD807BB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2: Framework Structure</w:t>
      </w:r>
    </w:p>
    <w:p w14:paraId="73AD6E84" w14:textId="77777777" w:rsidR="00A73253" w:rsidRPr="00A73253" w:rsidRDefault="00A73253" w:rsidP="00A73253">
      <w:pPr>
        <w:numPr>
          <w:ilvl w:val="0"/>
          <w:numId w:val="3"/>
        </w:numPr>
      </w:pPr>
      <w:r w:rsidRPr="00A73253">
        <w:t>Explain the structure of the NIST-CSF Core.</w:t>
      </w:r>
    </w:p>
    <w:p w14:paraId="5F75B922" w14:textId="77777777" w:rsidR="00A73253" w:rsidRPr="00A73253" w:rsidRDefault="00A73253" w:rsidP="00A73253">
      <w:pPr>
        <w:numPr>
          <w:ilvl w:val="0"/>
          <w:numId w:val="3"/>
        </w:numPr>
      </w:pPr>
      <w:r w:rsidRPr="00A73253">
        <w:t>Understand profiles and tiers and their relationships.</w:t>
      </w:r>
    </w:p>
    <w:p w14:paraId="424C3EDE" w14:textId="6E79C98C" w:rsidR="00A73253" w:rsidRPr="00A73253" w:rsidRDefault="00A73253" w:rsidP="00A73253">
      <w:pPr>
        <w:numPr>
          <w:ilvl w:val="0"/>
          <w:numId w:val="3"/>
        </w:numPr>
      </w:pPr>
      <w:r w:rsidRPr="00A73253">
        <w:t>Learn to use the NIST-CSF Online Reference tool.</w:t>
      </w:r>
    </w:p>
    <w:p w14:paraId="0214AB9C" w14:textId="77777777" w:rsidR="00A73253" w:rsidRPr="00A73253" w:rsidRDefault="00000000" w:rsidP="00A73253">
      <w:r>
        <w:pict w14:anchorId="0E65A9A2">
          <v:rect id="_x0000_i1029" style="width:0;height:1.5pt" o:hralign="center" o:hrstd="t" o:hr="t" fillcolor="#a0a0a0" stroked="f"/>
        </w:pict>
      </w:r>
    </w:p>
    <w:p w14:paraId="6E0834CB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3: Framework Core</w:t>
      </w:r>
    </w:p>
    <w:p w14:paraId="4BDE47A2" w14:textId="77777777" w:rsidR="00A73253" w:rsidRPr="00A73253" w:rsidRDefault="00A73253" w:rsidP="00A73253">
      <w:pPr>
        <w:numPr>
          <w:ilvl w:val="0"/>
          <w:numId w:val="4"/>
        </w:numPr>
      </w:pPr>
      <w:r w:rsidRPr="00A73253">
        <w:t>Describe the structure and outcomes of the CSF Core.</w:t>
      </w:r>
    </w:p>
    <w:p w14:paraId="296EF462" w14:textId="1FB8B70B" w:rsidR="00A73253" w:rsidRPr="00A73253" w:rsidRDefault="00A73253" w:rsidP="00A73253">
      <w:pPr>
        <w:numPr>
          <w:ilvl w:val="0"/>
          <w:numId w:val="4"/>
        </w:numPr>
      </w:pPr>
      <w:r w:rsidRPr="00A73253">
        <w:t>Understand category-level objectives within the framework.</w:t>
      </w:r>
    </w:p>
    <w:p w14:paraId="20A227F9" w14:textId="77777777" w:rsidR="00A73253" w:rsidRPr="00A73253" w:rsidRDefault="00000000" w:rsidP="00A73253">
      <w:r>
        <w:pict w14:anchorId="6D2965B2">
          <v:rect id="_x0000_i1030" style="width:0;height:1.5pt" o:hralign="center" o:hrstd="t" o:hr="t" fillcolor="#a0a0a0" stroked="f"/>
        </w:pict>
      </w:r>
    </w:p>
    <w:p w14:paraId="07E4432B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4: CSF Profiles &amp; CSF Tiers</w:t>
      </w:r>
    </w:p>
    <w:p w14:paraId="5AF17594" w14:textId="77777777" w:rsidR="00A73253" w:rsidRPr="00A73253" w:rsidRDefault="00A73253" w:rsidP="00A73253">
      <w:pPr>
        <w:numPr>
          <w:ilvl w:val="0"/>
          <w:numId w:val="5"/>
        </w:numPr>
      </w:pPr>
      <w:r w:rsidRPr="00A73253">
        <w:t>Explain the use of CSF Profiles.</w:t>
      </w:r>
    </w:p>
    <w:p w14:paraId="7C388800" w14:textId="64EF669D" w:rsidR="00A73253" w:rsidRPr="00A73253" w:rsidRDefault="00A73253" w:rsidP="00A73253">
      <w:pPr>
        <w:numPr>
          <w:ilvl w:val="0"/>
          <w:numId w:val="5"/>
        </w:numPr>
      </w:pPr>
      <w:r w:rsidRPr="00A73253">
        <w:t>Describe CSF Tiers and their applications.</w:t>
      </w:r>
    </w:p>
    <w:p w14:paraId="1FC67504" w14:textId="77777777" w:rsidR="00A73253" w:rsidRPr="00A73253" w:rsidRDefault="00000000" w:rsidP="00A73253">
      <w:r>
        <w:pict w14:anchorId="682F4031">
          <v:rect id="_x0000_i1031" style="width:0;height:1.5pt" o:hralign="center" o:hrstd="t" o:hr="t" fillcolor="#a0a0a0" stroked="f"/>
        </w:pict>
      </w:r>
    </w:p>
    <w:p w14:paraId="1B83EE9A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5: COSO Enterprise Risk Management (ERM)</w:t>
      </w:r>
    </w:p>
    <w:p w14:paraId="2F653CBF" w14:textId="77777777" w:rsidR="00A73253" w:rsidRPr="00A73253" w:rsidRDefault="00A73253" w:rsidP="00A73253">
      <w:pPr>
        <w:numPr>
          <w:ilvl w:val="0"/>
          <w:numId w:val="6"/>
        </w:numPr>
      </w:pPr>
      <w:r w:rsidRPr="00A73253">
        <w:t>Understand COSO’s 20 principles in the context of the NIST-CSF.</w:t>
      </w:r>
    </w:p>
    <w:p w14:paraId="59D84B12" w14:textId="777FA6CF" w:rsidR="00A73253" w:rsidRPr="00A73253" w:rsidRDefault="00A73253" w:rsidP="00A73253">
      <w:pPr>
        <w:numPr>
          <w:ilvl w:val="0"/>
          <w:numId w:val="6"/>
        </w:numPr>
      </w:pPr>
      <w:r w:rsidRPr="00A73253">
        <w:t>Discuss how culture influences organizational risk.</w:t>
      </w:r>
    </w:p>
    <w:p w14:paraId="59C4C9A7" w14:textId="77777777" w:rsidR="00A73253" w:rsidRPr="00A73253" w:rsidRDefault="00000000" w:rsidP="00A73253">
      <w:r>
        <w:pict w14:anchorId="77BE929B">
          <v:rect id="_x0000_i1032" style="width:0;height:1.5pt" o:hralign="center" o:hrstd="t" o:hr="t" fillcolor="#a0a0a0" stroked="f"/>
        </w:pict>
      </w:r>
    </w:p>
    <w:p w14:paraId="6D78FCE2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6: NIST CSF &amp; NIST Privacy Framework</w:t>
      </w:r>
    </w:p>
    <w:p w14:paraId="558A558C" w14:textId="77777777" w:rsidR="00A73253" w:rsidRPr="00A73253" w:rsidRDefault="00A73253" w:rsidP="00A73253">
      <w:pPr>
        <w:numPr>
          <w:ilvl w:val="0"/>
          <w:numId w:val="7"/>
        </w:numPr>
      </w:pPr>
      <w:r w:rsidRPr="00A73253">
        <w:t>Describe the role of a privacy framework.</w:t>
      </w:r>
    </w:p>
    <w:p w14:paraId="3700C7FB" w14:textId="6CB692B6" w:rsidR="00A73253" w:rsidRPr="00A73253" w:rsidRDefault="00A73253" w:rsidP="00A73253">
      <w:pPr>
        <w:numPr>
          <w:ilvl w:val="0"/>
          <w:numId w:val="7"/>
        </w:numPr>
      </w:pPr>
      <w:r w:rsidRPr="00A73253">
        <w:t>Understand how the NIST Privacy Framework integrates with the CSF.</w:t>
      </w:r>
    </w:p>
    <w:p w14:paraId="3404C625" w14:textId="77777777" w:rsidR="00A73253" w:rsidRPr="00A73253" w:rsidRDefault="00000000" w:rsidP="00A73253">
      <w:r>
        <w:pict w14:anchorId="650B3958">
          <v:rect id="_x0000_i1033" style="width:0;height:1.5pt" o:hralign="center" o:hrstd="t" o:hr="t" fillcolor="#a0a0a0" stroked="f"/>
        </w:pict>
      </w:r>
    </w:p>
    <w:p w14:paraId="36324ABD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7: NIST-CSF and Resiliency</w:t>
      </w:r>
    </w:p>
    <w:p w14:paraId="426A1192" w14:textId="0691A7EB" w:rsidR="00A73253" w:rsidRPr="00A73253" w:rsidRDefault="00A73253" w:rsidP="00A73253">
      <w:pPr>
        <w:numPr>
          <w:ilvl w:val="0"/>
          <w:numId w:val="8"/>
        </w:numPr>
      </w:pPr>
      <w:r w:rsidRPr="00A73253">
        <w:t>Define organizational resiliency in the context of NIST-CSF.</w:t>
      </w:r>
    </w:p>
    <w:p w14:paraId="7A30F0DE" w14:textId="77777777" w:rsidR="00A73253" w:rsidRPr="00A73253" w:rsidRDefault="00000000" w:rsidP="00A73253">
      <w:r>
        <w:pict w14:anchorId="7AA3DAAE">
          <v:rect id="_x0000_i1034" style="width:0;height:1.5pt" o:hralign="center" o:hrstd="t" o:hr="t" fillcolor="#a0a0a0" stroked="f"/>
        </w:pict>
      </w:r>
    </w:p>
    <w:p w14:paraId="429564E4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lastRenderedPageBreak/>
        <w:t>Module 8: Adopt and Adapt the NIST-CSF</w:t>
      </w:r>
    </w:p>
    <w:p w14:paraId="784C5C8F" w14:textId="77777777" w:rsidR="00A73253" w:rsidRPr="00A73253" w:rsidRDefault="00A73253" w:rsidP="00A73253">
      <w:pPr>
        <w:numPr>
          <w:ilvl w:val="0"/>
          <w:numId w:val="9"/>
        </w:numPr>
      </w:pPr>
      <w:r w:rsidRPr="00A73253">
        <w:t>Describe the strategic importance of adopting the NIST-CSF.</w:t>
      </w:r>
    </w:p>
    <w:p w14:paraId="2487E312" w14:textId="77777777" w:rsidR="00A73253" w:rsidRPr="00A73253" w:rsidRDefault="00A73253" w:rsidP="00A73253">
      <w:pPr>
        <w:numPr>
          <w:ilvl w:val="0"/>
          <w:numId w:val="9"/>
        </w:numPr>
      </w:pPr>
      <w:r w:rsidRPr="00A73253">
        <w:t>Explain leadership’s role in commitment and culture curation.</w:t>
      </w:r>
    </w:p>
    <w:p w14:paraId="0C1EEC9A" w14:textId="62E70CC5" w:rsidR="00A73253" w:rsidRPr="00A73253" w:rsidRDefault="00A73253" w:rsidP="00A73253">
      <w:pPr>
        <w:numPr>
          <w:ilvl w:val="0"/>
          <w:numId w:val="9"/>
        </w:numPr>
      </w:pPr>
      <w:r w:rsidRPr="00A73253">
        <w:t>Define organizational commitment to adoption.</w:t>
      </w:r>
    </w:p>
    <w:p w14:paraId="1967993A" w14:textId="77777777" w:rsidR="00A73253" w:rsidRPr="00A73253" w:rsidRDefault="00000000" w:rsidP="00A73253">
      <w:r>
        <w:pict w14:anchorId="7B092CC2">
          <v:rect id="_x0000_i1035" style="width:0;height:1.5pt" o:hralign="center" o:hrstd="t" o:hr="t" fillcolor="#a0a0a0" stroked="f"/>
        </w:pict>
      </w:r>
    </w:p>
    <w:p w14:paraId="366E1246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9: Adopt the NIST-CSF</w:t>
      </w:r>
    </w:p>
    <w:p w14:paraId="37BFD6DB" w14:textId="77777777" w:rsidR="00A73253" w:rsidRPr="00A73253" w:rsidRDefault="00A73253" w:rsidP="00A73253">
      <w:pPr>
        <w:numPr>
          <w:ilvl w:val="0"/>
          <w:numId w:val="10"/>
        </w:numPr>
      </w:pPr>
      <w:r w:rsidRPr="00A73253">
        <w:t>Define “Informative References” (IRs).</w:t>
      </w:r>
    </w:p>
    <w:p w14:paraId="55A257B7" w14:textId="77777777" w:rsidR="00A73253" w:rsidRPr="00A73253" w:rsidRDefault="00A73253" w:rsidP="00A73253">
      <w:pPr>
        <w:numPr>
          <w:ilvl w:val="0"/>
          <w:numId w:val="10"/>
        </w:numPr>
      </w:pPr>
      <w:r w:rsidRPr="00A73253">
        <w:t>Describe how to adapt IR controls to suit organizational needs.</w:t>
      </w:r>
    </w:p>
    <w:p w14:paraId="500BDE3F" w14:textId="7349B1AA" w:rsidR="00A73253" w:rsidRPr="00A73253" w:rsidRDefault="00A73253" w:rsidP="00A73253">
      <w:pPr>
        <w:numPr>
          <w:ilvl w:val="0"/>
          <w:numId w:val="10"/>
        </w:numPr>
      </w:pPr>
      <w:r w:rsidRPr="00A73253">
        <w:t>Understand how adaptation enhances organizational resiliency.</w:t>
      </w:r>
    </w:p>
    <w:p w14:paraId="7259FDC3" w14:textId="77777777" w:rsidR="00A73253" w:rsidRPr="00A73253" w:rsidRDefault="00000000" w:rsidP="00A73253">
      <w:r>
        <w:pict w14:anchorId="2A070FE1">
          <v:rect id="_x0000_i1036" style="width:0;height:1.5pt" o:hralign="center" o:hrstd="t" o:hr="t" fillcolor="#a0a0a0" stroked="f"/>
        </w:pict>
      </w:r>
    </w:p>
    <w:p w14:paraId="01690ABE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Module 10: Beyond the Framework – DVMS Overlay</w:t>
      </w:r>
    </w:p>
    <w:p w14:paraId="35CDD9E4" w14:textId="77777777" w:rsidR="00A73253" w:rsidRPr="00A73253" w:rsidRDefault="00A73253" w:rsidP="00A73253">
      <w:pPr>
        <w:numPr>
          <w:ilvl w:val="0"/>
          <w:numId w:val="11"/>
        </w:numPr>
      </w:pPr>
      <w:r w:rsidRPr="00A73253">
        <w:t>Explain DVMS overlay concepts.</w:t>
      </w:r>
    </w:p>
    <w:p w14:paraId="352CC284" w14:textId="77777777" w:rsidR="00A73253" w:rsidRPr="00A73253" w:rsidRDefault="00A73253" w:rsidP="00A73253">
      <w:pPr>
        <w:numPr>
          <w:ilvl w:val="0"/>
          <w:numId w:val="11"/>
        </w:numPr>
      </w:pPr>
      <w:r w:rsidRPr="00A73253">
        <w:t>Understand the DVMS Z-X Model and its seven capabilities.</w:t>
      </w:r>
    </w:p>
    <w:p w14:paraId="112F1A39" w14:textId="77777777" w:rsidR="00A73253" w:rsidRPr="00A73253" w:rsidRDefault="00A73253" w:rsidP="00A73253">
      <w:pPr>
        <w:numPr>
          <w:ilvl w:val="0"/>
          <w:numId w:val="11"/>
        </w:numPr>
      </w:pPr>
      <w:r w:rsidRPr="00A73253">
        <w:t>Learn to identify performance gaps using the DVMS overlay.</w:t>
      </w:r>
    </w:p>
    <w:p w14:paraId="570DAF22" w14:textId="29BEBC49" w:rsidR="00A73253" w:rsidRPr="00A73253" w:rsidRDefault="00A73253" w:rsidP="00A73253">
      <w:pPr>
        <w:numPr>
          <w:ilvl w:val="0"/>
          <w:numId w:val="11"/>
        </w:numPr>
      </w:pPr>
      <w:r w:rsidRPr="00A73253">
        <w:t>Explore the DVMS FastTrack™ approach.</w:t>
      </w:r>
    </w:p>
    <w:p w14:paraId="43048E8F" w14:textId="77777777" w:rsidR="00A73253" w:rsidRPr="00A73253" w:rsidRDefault="00000000" w:rsidP="00A73253">
      <w:r>
        <w:pict w14:anchorId="6BF8F8E3">
          <v:rect id="_x0000_i1037" style="width:0;height:1.5pt" o:hralign="center" o:hrstd="t" o:hr="t" fillcolor="#a0a0a0" stroked="f"/>
        </w:pict>
      </w:r>
    </w:p>
    <w:p w14:paraId="20DDCA4F" w14:textId="77777777" w:rsidR="00A73253" w:rsidRPr="00A73253" w:rsidRDefault="00A73253" w:rsidP="00A73253">
      <w:pPr>
        <w:rPr>
          <w:b/>
          <w:bCs/>
        </w:rPr>
      </w:pPr>
      <w:r w:rsidRPr="00A73253">
        <w:rPr>
          <w:b/>
          <w:bCs/>
        </w:rPr>
        <w:t>Examination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4852"/>
      </w:tblGrid>
      <w:tr w:rsidR="00A73253" w:rsidRPr="00A73253" w14:paraId="3BC4EB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A701AD" w14:textId="77777777" w:rsidR="00A73253" w:rsidRPr="00A73253" w:rsidRDefault="00A73253" w:rsidP="00A73253">
            <w:pPr>
              <w:rPr>
                <w:b/>
                <w:bCs/>
              </w:rPr>
            </w:pPr>
            <w:r w:rsidRPr="00A73253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CF846E7" w14:textId="77777777" w:rsidR="00A73253" w:rsidRPr="00A73253" w:rsidRDefault="00A73253" w:rsidP="00A73253">
            <w:pPr>
              <w:rPr>
                <w:b/>
                <w:bCs/>
              </w:rPr>
            </w:pPr>
            <w:r w:rsidRPr="00A73253">
              <w:rPr>
                <w:b/>
                <w:bCs/>
              </w:rPr>
              <w:t>Details</w:t>
            </w:r>
          </w:p>
        </w:tc>
      </w:tr>
      <w:tr w:rsidR="00A73253" w:rsidRPr="00A73253" w14:paraId="59DCF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CA8C" w14:textId="77777777" w:rsidR="00A73253" w:rsidRPr="00A73253" w:rsidRDefault="00A73253" w:rsidP="00A73253">
            <w:r w:rsidRPr="00A73253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959173B" w14:textId="77777777" w:rsidR="00A73253" w:rsidRPr="00A73253" w:rsidRDefault="00A73253" w:rsidP="00A73253">
            <w:r w:rsidRPr="00A73253">
              <w:t>60 minutes</w:t>
            </w:r>
          </w:p>
        </w:tc>
      </w:tr>
      <w:tr w:rsidR="00A73253" w:rsidRPr="00A73253" w14:paraId="5F2AA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EC57" w14:textId="77777777" w:rsidR="00A73253" w:rsidRPr="00A73253" w:rsidRDefault="00A73253" w:rsidP="00A73253">
            <w:r w:rsidRPr="00A73253">
              <w:rPr>
                <w:b/>
                <w:bCs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67FC8FEF" w14:textId="77777777" w:rsidR="00A73253" w:rsidRPr="00A73253" w:rsidRDefault="00A73253" w:rsidP="00A73253">
            <w:r w:rsidRPr="00A73253">
              <w:t>40 multiple-choice questions (4 options each)</w:t>
            </w:r>
          </w:p>
        </w:tc>
      </w:tr>
      <w:tr w:rsidR="00A73253" w:rsidRPr="00A73253" w14:paraId="24EB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4805" w14:textId="77777777" w:rsidR="00A73253" w:rsidRPr="00A73253" w:rsidRDefault="00A73253" w:rsidP="00A73253">
            <w:r w:rsidRPr="00A73253">
              <w:rPr>
                <w:b/>
                <w:bCs/>
              </w:rPr>
              <w:t>Delivery</w:t>
            </w:r>
          </w:p>
        </w:tc>
        <w:tc>
          <w:tcPr>
            <w:tcW w:w="0" w:type="auto"/>
            <w:vAlign w:val="center"/>
            <w:hideMark/>
          </w:tcPr>
          <w:p w14:paraId="52EE8EDA" w14:textId="77777777" w:rsidR="00A73253" w:rsidRPr="00A73253" w:rsidRDefault="00A73253" w:rsidP="00A73253">
            <w:r w:rsidRPr="00A73253">
              <w:t>Paper-based or online, proctored</w:t>
            </w:r>
          </w:p>
        </w:tc>
      </w:tr>
      <w:tr w:rsidR="00A73253" w:rsidRPr="00A73253" w14:paraId="5EA19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F46E9" w14:textId="77777777" w:rsidR="00A73253" w:rsidRPr="00A73253" w:rsidRDefault="00A73253" w:rsidP="00A73253">
            <w:r w:rsidRPr="00A73253">
              <w:rPr>
                <w:b/>
                <w:bCs/>
              </w:rPr>
              <w:t>Bloom’s Levels</w:t>
            </w:r>
          </w:p>
        </w:tc>
        <w:tc>
          <w:tcPr>
            <w:tcW w:w="0" w:type="auto"/>
            <w:vAlign w:val="center"/>
            <w:hideMark/>
          </w:tcPr>
          <w:p w14:paraId="40F052B4" w14:textId="77777777" w:rsidR="00A73253" w:rsidRPr="00A73253" w:rsidRDefault="00A73253" w:rsidP="00A73253">
            <w:r w:rsidRPr="00A73253">
              <w:t>Level 1 – Knowledge; Level 2 – Comprehension</w:t>
            </w:r>
          </w:p>
        </w:tc>
      </w:tr>
      <w:tr w:rsidR="00A73253" w:rsidRPr="00A73253" w14:paraId="1BB37A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E7916" w14:textId="77777777" w:rsidR="00A73253" w:rsidRPr="00A73253" w:rsidRDefault="00A73253" w:rsidP="00A73253">
            <w:r w:rsidRPr="00A73253">
              <w:rPr>
                <w:b/>
                <w:bCs/>
              </w:rPr>
              <w:t>Scoring</w:t>
            </w:r>
          </w:p>
        </w:tc>
        <w:tc>
          <w:tcPr>
            <w:tcW w:w="0" w:type="auto"/>
            <w:vAlign w:val="center"/>
            <w:hideMark/>
          </w:tcPr>
          <w:p w14:paraId="26F8391B" w14:textId="77777777" w:rsidR="00A73253" w:rsidRPr="00A73253" w:rsidRDefault="00A73253" w:rsidP="00A73253">
            <w:r w:rsidRPr="00A73253">
              <w:t>1 point per question; 60% to pass (24/40)</w:t>
            </w:r>
          </w:p>
        </w:tc>
      </w:tr>
      <w:tr w:rsidR="00A73253" w:rsidRPr="00A73253" w14:paraId="79EE1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DDACF" w14:textId="77777777" w:rsidR="00A73253" w:rsidRPr="00A73253" w:rsidRDefault="00A73253" w:rsidP="00A73253">
            <w:r w:rsidRPr="00A73253">
              <w:rPr>
                <w:b/>
                <w:bCs/>
              </w:rPr>
              <w:t>Closed Book</w:t>
            </w:r>
          </w:p>
        </w:tc>
        <w:tc>
          <w:tcPr>
            <w:tcW w:w="0" w:type="auto"/>
            <w:vAlign w:val="center"/>
            <w:hideMark/>
          </w:tcPr>
          <w:p w14:paraId="2A402592" w14:textId="77777777" w:rsidR="00A73253" w:rsidRPr="00A73253" w:rsidRDefault="00A73253" w:rsidP="00A73253">
            <w:r w:rsidRPr="00A73253">
              <w:t>Yes</w:t>
            </w:r>
          </w:p>
        </w:tc>
      </w:tr>
    </w:tbl>
    <w:p w14:paraId="697807BE" w14:textId="77777777" w:rsidR="00A73253" w:rsidRDefault="00A73253" w:rsidP="00FE20C4"/>
    <w:sectPr w:rsidR="00A7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616D" w14:textId="77777777" w:rsidR="00634911" w:rsidRDefault="00634911" w:rsidP="00AB0979">
      <w:pPr>
        <w:spacing w:after="0" w:line="240" w:lineRule="auto"/>
      </w:pPr>
      <w:r>
        <w:separator/>
      </w:r>
    </w:p>
  </w:endnote>
  <w:endnote w:type="continuationSeparator" w:id="0">
    <w:p w14:paraId="057EDFAD" w14:textId="77777777" w:rsidR="00634911" w:rsidRDefault="00634911" w:rsidP="00AB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1D8E" w14:textId="77777777" w:rsidR="00634911" w:rsidRDefault="00634911" w:rsidP="00AB0979">
      <w:pPr>
        <w:spacing w:after="0" w:line="240" w:lineRule="auto"/>
      </w:pPr>
      <w:r>
        <w:separator/>
      </w:r>
    </w:p>
  </w:footnote>
  <w:footnote w:type="continuationSeparator" w:id="0">
    <w:p w14:paraId="3A854FFB" w14:textId="77777777" w:rsidR="00634911" w:rsidRDefault="00634911" w:rsidP="00AB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7B95"/>
    <w:multiLevelType w:val="multilevel"/>
    <w:tmpl w:val="BDF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5A77"/>
    <w:multiLevelType w:val="multilevel"/>
    <w:tmpl w:val="BF4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6285"/>
    <w:multiLevelType w:val="multilevel"/>
    <w:tmpl w:val="822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82300"/>
    <w:multiLevelType w:val="multilevel"/>
    <w:tmpl w:val="E1D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3350D"/>
    <w:multiLevelType w:val="multilevel"/>
    <w:tmpl w:val="ED7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274F2"/>
    <w:multiLevelType w:val="multilevel"/>
    <w:tmpl w:val="967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61965"/>
    <w:multiLevelType w:val="multilevel"/>
    <w:tmpl w:val="EFB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825BD"/>
    <w:multiLevelType w:val="multilevel"/>
    <w:tmpl w:val="E60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C0430"/>
    <w:multiLevelType w:val="multilevel"/>
    <w:tmpl w:val="AFD8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C4915"/>
    <w:multiLevelType w:val="multilevel"/>
    <w:tmpl w:val="CAFC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86207"/>
    <w:multiLevelType w:val="multilevel"/>
    <w:tmpl w:val="D84A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3418">
    <w:abstractNumId w:val="10"/>
  </w:num>
  <w:num w:numId="2" w16cid:durableId="2074740114">
    <w:abstractNumId w:val="7"/>
  </w:num>
  <w:num w:numId="3" w16cid:durableId="1245333262">
    <w:abstractNumId w:val="8"/>
  </w:num>
  <w:num w:numId="4" w16cid:durableId="882522454">
    <w:abstractNumId w:val="3"/>
  </w:num>
  <w:num w:numId="5" w16cid:durableId="1652252068">
    <w:abstractNumId w:val="9"/>
  </w:num>
  <w:num w:numId="6" w16cid:durableId="738599665">
    <w:abstractNumId w:val="0"/>
  </w:num>
  <w:num w:numId="7" w16cid:durableId="131757922">
    <w:abstractNumId w:val="2"/>
  </w:num>
  <w:num w:numId="8" w16cid:durableId="1677459810">
    <w:abstractNumId w:val="4"/>
  </w:num>
  <w:num w:numId="9" w16cid:durableId="1070928468">
    <w:abstractNumId w:val="5"/>
  </w:num>
  <w:num w:numId="10" w16cid:durableId="1703941188">
    <w:abstractNumId w:val="6"/>
  </w:num>
  <w:num w:numId="11" w16cid:durableId="191058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3"/>
    <w:rsid w:val="00031ED4"/>
    <w:rsid w:val="00634911"/>
    <w:rsid w:val="0067157B"/>
    <w:rsid w:val="00A73253"/>
    <w:rsid w:val="00AB0979"/>
    <w:rsid w:val="00F8167D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3616F"/>
  <w15:chartTrackingRefBased/>
  <w15:docId w15:val="{D91E9799-9A91-4489-81A7-9993BF95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79"/>
  </w:style>
  <w:style w:type="paragraph" w:styleId="Footer">
    <w:name w:val="footer"/>
    <w:basedOn w:val="Normal"/>
    <w:link w:val="FooterChar"/>
    <w:uiPriority w:val="99"/>
    <w:unhideWhenUsed/>
    <w:rsid w:val="00A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2803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Lemieux</dc:creator>
  <cp:keywords/>
  <dc:description/>
  <cp:lastModifiedBy>Rick Lemieux</cp:lastModifiedBy>
  <cp:revision>2</cp:revision>
  <dcterms:created xsi:type="dcterms:W3CDTF">2025-10-16T19:43:00Z</dcterms:created>
  <dcterms:modified xsi:type="dcterms:W3CDTF">2025-10-16T19:43:00Z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517e09f8-12bf-4253-b45b-aa464cc1a246</vt:lpwstr>
  </property>
</Properties>
</file>